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134" w:rsidRPr="00EB32EC" w:rsidRDefault="00A6109D" w:rsidP="00A6109D">
      <w:pPr>
        <w:jc w:val="right"/>
        <w:rPr>
          <w:b/>
          <w:u w:val="single"/>
        </w:rPr>
      </w:pPr>
      <w:r>
        <w:rPr>
          <w:b/>
          <w:u w:val="single"/>
        </w:rPr>
        <w:t>BAS</w:t>
      </w:r>
      <w:r w:rsidR="00F42DCB">
        <w:rPr>
          <w:b/>
          <w:u w:val="single"/>
        </w:rPr>
        <w:t>5005</w:t>
      </w:r>
    </w:p>
    <w:p w:rsidR="00D014BC" w:rsidRDefault="00D014BC"/>
    <w:p w:rsidR="00EB7AF5" w:rsidRDefault="00EB7AF5" w:rsidP="00A6109D">
      <w:pPr>
        <w:jc w:val="center"/>
        <w:rPr>
          <w:b/>
        </w:rPr>
      </w:pPr>
      <w:r>
        <w:rPr>
          <w:b/>
        </w:rPr>
        <w:t>Crowd-Sourced Funding Summary Article</w:t>
      </w:r>
    </w:p>
    <w:p w:rsidR="00EB7AF5" w:rsidRDefault="00EB7AF5" w:rsidP="00A6109D">
      <w:pPr>
        <w:jc w:val="center"/>
        <w:rPr>
          <w:b/>
        </w:rPr>
      </w:pPr>
    </w:p>
    <w:p w:rsidR="00A6109D" w:rsidRPr="00A6109D" w:rsidRDefault="00A6109D" w:rsidP="00A6109D">
      <w:pPr>
        <w:jc w:val="center"/>
        <w:rPr>
          <w:b/>
        </w:rPr>
      </w:pPr>
      <w:r w:rsidRPr="00A6109D">
        <w:rPr>
          <w:b/>
        </w:rPr>
        <w:t>W</w:t>
      </w:r>
      <w:r w:rsidR="00F42DCB">
        <w:rPr>
          <w:b/>
        </w:rPr>
        <w:t>hat is Crowd</w:t>
      </w:r>
      <w:r w:rsidR="000A6480">
        <w:rPr>
          <w:b/>
        </w:rPr>
        <w:t>-</w:t>
      </w:r>
      <w:r w:rsidR="00F42DCB">
        <w:rPr>
          <w:b/>
        </w:rPr>
        <w:t>Sourced Funding</w:t>
      </w:r>
      <w:r w:rsidRPr="00A6109D">
        <w:rPr>
          <w:b/>
        </w:rPr>
        <w:t>?</w:t>
      </w:r>
      <w:bookmarkStart w:id="0" w:name="_GoBack"/>
      <w:bookmarkEnd w:id="0"/>
    </w:p>
    <w:p w:rsidR="00740EEC" w:rsidRDefault="00740EEC"/>
    <w:p w:rsidR="007C304A" w:rsidRDefault="007C304A" w:rsidP="00F42DCB">
      <w:pPr>
        <w:pStyle w:val="ListParagraph"/>
        <w:numPr>
          <w:ilvl w:val="1"/>
          <w:numId w:val="2"/>
        </w:numPr>
        <w:tabs>
          <w:tab w:val="left" w:pos="567"/>
        </w:tabs>
        <w:ind w:left="567" w:hanging="567"/>
      </w:pPr>
      <w:r>
        <w:rPr>
          <w:b/>
        </w:rPr>
        <w:t>Capital Raising</w:t>
      </w:r>
    </w:p>
    <w:p w:rsidR="007C304A" w:rsidRDefault="007C304A" w:rsidP="007C304A">
      <w:pPr>
        <w:pStyle w:val="ListParagraph"/>
        <w:tabs>
          <w:tab w:val="left" w:pos="567"/>
        </w:tabs>
        <w:ind w:left="567"/>
      </w:pPr>
    </w:p>
    <w:p w:rsidR="00F42DCB" w:rsidRDefault="00F42DCB" w:rsidP="007C304A">
      <w:pPr>
        <w:pStyle w:val="ListParagraph"/>
        <w:tabs>
          <w:tab w:val="left" w:pos="567"/>
        </w:tabs>
        <w:ind w:left="567"/>
      </w:pPr>
      <w:r w:rsidRPr="008F3593">
        <w:t xml:space="preserve">A type of corporate capital raising whereby a company seeks funds in small amounts from </w:t>
      </w:r>
      <w:proofErr w:type="gramStart"/>
      <w:r w:rsidRPr="008F3593">
        <w:t>a large number of</w:t>
      </w:r>
      <w:proofErr w:type="gramEnd"/>
      <w:r w:rsidRPr="008F3593">
        <w:t xml:space="preserve"> individual investors in return for </w:t>
      </w:r>
      <w:r>
        <w:t xml:space="preserve">the issue of </w:t>
      </w:r>
      <w:r w:rsidRPr="008F3593">
        <w:t xml:space="preserve">securities </w:t>
      </w:r>
      <w:r>
        <w:t>(shares) i</w:t>
      </w:r>
      <w:r w:rsidRPr="008F3593">
        <w:t>n the company.</w:t>
      </w:r>
    </w:p>
    <w:p w:rsidR="00FB191F" w:rsidRDefault="00FB191F" w:rsidP="00FB191F">
      <w:pPr>
        <w:pStyle w:val="ListParagraph"/>
        <w:tabs>
          <w:tab w:val="left" w:pos="567"/>
        </w:tabs>
        <w:ind w:left="567"/>
      </w:pPr>
    </w:p>
    <w:p w:rsidR="00FB191F" w:rsidRDefault="00FB191F" w:rsidP="00FB191F">
      <w:pPr>
        <w:pStyle w:val="ListParagraph"/>
        <w:tabs>
          <w:tab w:val="left" w:pos="567"/>
        </w:tabs>
        <w:ind w:left="567"/>
      </w:pPr>
    </w:p>
    <w:p w:rsidR="007C304A" w:rsidRDefault="007C304A" w:rsidP="00F42DCB">
      <w:pPr>
        <w:pStyle w:val="ListParagraph"/>
        <w:numPr>
          <w:ilvl w:val="1"/>
          <w:numId w:val="2"/>
        </w:numPr>
        <w:tabs>
          <w:tab w:val="left" w:pos="567"/>
        </w:tabs>
        <w:ind w:left="567" w:hanging="567"/>
      </w:pPr>
      <w:r>
        <w:rPr>
          <w:b/>
        </w:rPr>
        <w:t>Key Participants</w:t>
      </w:r>
    </w:p>
    <w:p w:rsidR="00F42DCB" w:rsidRPr="008F3593" w:rsidRDefault="00F42DCB" w:rsidP="007C304A">
      <w:pPr>
        <w:pStyle w:val="ListParagraph"/>
        <w:tabs>
          <w:tab w:val="left" w:pos="567"/>
        </w:tabs>
        <w:ind w:left="567"/>
      </w:pPr>
      <w:r w:rsidRPr="008F3593">
        <w:t>Crowd</w:t>
      </w:r>
      <w:r w:rsidR="000A6480">
        <w:t>-</w:t>
      </w:r>
      <w:r w:rsidRPr="008F3593">
        <w:t>Source Funding (CSF) involves</w:t>
      </w:r>
      <w:r>
        <w:t xml:space="preserve"> c</w:t>
      </w:r>
      <w:r w:rsidRPr="008F3593">
        <w:t>ompanies (that are referred to as “</w:t>
      </w:r>
      <w:r w:rsidRPr="007C304A">
        <w:rPr>
          <w:u w:val="single"/>
        </w:rPr>
        <w:t>Issuers</w:t>
      </w:r>
      <w:r w:rsidRPr="008F3593">
        <w:t>” in the legislation) that will propose to raise funds.</w:t>
      </w:r>
      <w:r>
        <w:t xml:space="preserve">  </w:t>
      </w:r>
      <w:r w:rsidR="007C304A">
        <w:t>“</w:t>
      </w:r>
      <w:r w:rsidRPr="007C304A">
        <w:rPr>
          <w:u w:val="single"/>
        </w:rPr>
        <w:t>Intermediaries</w:t>
      </w:r>
      <w:r w:rsidR="007C304A">
        <w:t>”</w:t>
      </w:r>
      <w:r w:rsidRPr="008F3593">
        <w:t xml:space="preserve"> (also referred to as “Gatekeepers”) have a significant role to play checking that </w:t>
      </w:r>
      <w:proofErr w:type="spellStart"/>
      <w:r w:rsidRPr="008F3593">
        <w:t>a</w:t>
      </w:r>
      <w:proofErr w:type="spellEnd"/>
      <w:r w:rsidRPr="008F3593">
        <w:t xml:space="preserve"> Issuer has complied with the legislation and the</w:t>
      </w:r>
      <w:r>
        <w:t xml:space="preserve"> Gatekeeper the</w:t>
      </w:r>
      <w:r w:rsidRPr="008F3593">
        <w:t>n host</w:t>
      </w:r>
      <w:r>
        <w:t>s</w:t>
      </w:r>
      <w:r w:rsidRPr="008F3593">
        <w:t xml:space="preserve"> the platform </w:t>
      </w:r>
      <w:r w:rsidR="007C304A">
        <w:t xml:space="preserve">(on the Gatekeeper’s web site) </w:t>
      </w:r>
      <w:r w:rsidRPr="008F3593">
        <w:t xml:space="preserve">through which offers are made to </w:t>
      </w:r>
      <w:r w:rsidR="007C304A">
        <w:t>“</w:t>
      </w:r>
      <w:r w:rsidRPr="007C304A">
        <w:rPr>
          <w:u w:val="single"/>
        </w:rPr>
        <w:t>crowd investors</w:t>
      </w:r>
      <w:r w:rsidR="007C304A">
        <w:t>”</w:t>
      </w:r>
      <w:r w:rsidRPr="008F3593">
        <w:t>.</w:t>
      </w:r>
    </w:p>
    <w:p w:rsidR="00F42DCB" w:rsidRDefault="00F42DCB" w:rsidP="00F42DCB">
      <w:pPr>
        <w:tabs>
          <w:tab w:val="left" w:pos="567"/>
        </w:tabs>
        <w:ind w:left="567"/>
      </w:pPr>
    </w:p>
    <w:p w:rsidR="00FB191F" w:rsidRDefault="00FB191F" w:rsidP="00F42DCB">
      <w:pPr>
        <w:tabs>
          <w:tab w:val="left" w:pos="567"/>
        </w:tabs>
        <w:ind w:left="567"/>
      </w:pPr>
    </w:p>
    <w:p w:rsidR="00FB191F" w:rsidRDefault="00FB191F" w:rsidP="00F42DCB">
      <w:pPr>
        <w:pStyle w:val="ListParagraph"/>
        <w:numPr>
          <w:ilvl w:val="1"/>
          <w:numId w:val="2"/>
        </w:numPr>
        <w:tabs>
          <w:tab w:val="left" w:pos="567"/>
        </w:tabs>
        <w:ind w:left="1134" w:hanging="1134"/>
      </w:pPr>
      <w:r>
        <w:rPr>
          <w:b/>
        </w:rPr>
        <w:t>Crowd Investors</w:t>
      </w:r>
    </w:p>
    <w:p w:rsidR="00F42DCB" w:rsidRPr="008F3593" w:rsidRDefault="00F42DCB" w:rsidP="00FB191F">
      <w:pPr>
        <w:pStyle w:val="ListParagraph"/>
        <w:numPr>
          <w:ilvl w:val="0"/>
          <w:numId w:val="4"/>
        </w:numPr>
        <w:tabs>
          <w:tab w:val="left" w:pos="567"/>
          <w:tab w:val="left" w:pos="1134"/>
        </w:tabs>
        <w:ind w:hanging="720"/>
      </w:pPr>
      <w:r>
        <w:t>A</w:t>
      </w:r>
      <w:r w:rsidRPr="008F3593">
        <w:t>n offer will be eligible to be made under the CSF regime where:</w:t>
      </w:r>
    </w:p>
    <w:p w:rsidR="00F42DCB" w:rsidRPr="008F3593" w:rsidRDefault="00F42DCB" w:rsidP="00FB191F">
      <w:pPr>
        <w:pStyle w:val="ListParagraph"/>
        <w:numPr>
          <w:ilvl w:val="0"/>
          <w:numId w:val="3"/>
        </w:numPr>
        <w:tabs>
          <w:tab w:val="left" w:pos="567"/>
          <w:tab w:val="left" w:pos="1701"/>
        </w:tabs>
        <w:ind w:left="1701" w:hanging="567"/>
      </w:pPr>
      <w:r w:rsidRPr="008F3593">
        <w:t xml:space="preserve">the offer is for the </w:t>
      </w:r>
      <w:r w:rsidRPr="007C304A">
        <w:rPr>
          <w:u w:val="single"/>
        </w:rPr>
        <w:t>issue of securities</w:t>
      </w:r>
      <w:r w:rsidRPr="008F3593">
        <w:t xml:space="preserve"> of the company making the offer;</w:t>
      </w:r>
    </w:p>
    <w:p w:rsidR="00F42DCB" w:rsidRPr="008F3593" w:rsidRDefault="00F42DCB" w:rsidP="00FB191F">
      <w:pPr>
        <w:pStyle w:val="ListParagraph"/>
        <w:numPr>
          <w:ilvl w:val="0"/>
          <w:numId w:val="3"/>
        </w:numPr>
        <w:tabs>
          <w:tab w:val="left" w:pos="567"/>
          <w:tab w:val="left" w:pos="1701"/>
        </w:tabs>
        <w:ind w:left="1701" w:hanging="567"/>
      </w:pPr>
      <w:r w:rsidRPr="008F3593">
        <w:t>the company making the offer is an “</w:t>
      </w:r>
      <w:r w:rsidRPr="007C304A">
        <w:rPr>
          <w:u w:val="single"/>
        </w:rPr>
        <w:t>eligible CSF company</w:t>
      </w:r>
      <w:r w:rsidRPr="008F3593">
        <w:t>” at the time of the offer;</w:t>
      </w:r>
    </w:p>
    <w:p w:rsidR="00F42DCB" w:rsidRPr="008F3593" w:rsidRDefault="00F42DCB" w:rsidP="00FB191F">
      <w:pPr>
        <w:pStyle w:val="ListParagraph"/>
        <w:numPr>
          <w:ilvl w:val="0"/>
          <w:numId w:val="3"/>
        </w:numPr>
        <w:tabs>
          <w:tab w:val="left" w:pos="567"/>
          <w:tab w:val="left" w:pos="1701"/>
        </w:tabs>
        <w:ind w:left="1701" w:hanging="567"/>
      </w:pPr>
      <w:r w:rsidRPr="008F3593">
        <w:t xml:space="preserve">the securities satisfy the </w:t>
      </w:r>
      <w:r w:rsidRPr="007C304A">
        <w:rPr>
          <w:u w:val="single"/>
        </w:rPr>
        <w:t>eligibility conditions</w:t>
      </w:r>
      <w:r>
        <w:t xml:space="preserve"> specified in the R</w:t>
      </w:r>
      <w:r w:rsidRPr="008F3593">
        <w:t>egulations;</w:t>
      </w:r>
    </w:p>
    <w:p w:rsidR="00F42DCB" w:rsidRPr="008F3593" w:rsidRDefault="00F42DCB" w:rsidP="00FB191F">
      <w:pPr>
        <w:pStyle w:val="ListParagraph"/>
        <w:numPr>
          <w:ilvl w:val="0"/>
          <w:numId w:val="3"/>
        </w:numPr>
        <w:tabs>
          <w:tab w:val="left" w:pos="567"/>
          <w:tab w:val="left" w:pos="1701"/>
        </w:tabs>
        <w:ind w:left="1701" w:hanging="567"/>
      </w:pPr>
      <w:r w:rsidRPr="008F3593">
        <w:t>the o</w:t>
      </w:r>
      <w:r>
        <w:t>ffer complies with the “</w:t>
      </w:r>
      <w:r w:rsidRPr="007C304A">
        <w:rPr>
          <w:u w:val="single"/>
        </w:rPr>
        <w:t>Issuer Cap</w:t>
      </w:r>
      <w:r w:rsidRPr="008F3593">
        <w:t>”</w:t>
      </w:r>
      <w:r>
        <w:t>;</w:t>
      </w:r>
      <w:r w:rsidRPr="008F3593">
        <w:t xml:space="preserve"> and</w:t>
      </w:r>
    </w:p>
    <w:p w:rsidR="00F42DCB" w:rsidRPr="008F3593" w:rsidRDefault="00F42DCB" w:rsidP="00FB191F">
      <w:pPr>
        <w:pStyle w:val="ListParagraph"/>
        <w:numPr>
          <w:ilvl w:val="0"/>
          <w:numId w:val="3"/>
        </w:numPr>
        <w:tabs>
          <w:tab w:val="left" w:pos="567"/>
          <w:tab w:val="left" w:pos="1701"/>
        </w:tabs>
        <w:ind w:left="1701" w:hanging="567"/>
      </w:pPr>
      <w:r w:rsidRPr="008F3593">
        <w:t xml:space="preserve">the company does not intend the funds sought under the offer to be used by the company or a related party of the company to any extent </w:t>
      </w:r>
      <w:r w:rsidRPr="007C304A">
        <w:rPr>
          <w:u w:val="single"/>
        </w:rPr>
        <w:t>to invest in securities or interest</w:t>
      </w:r>
      <w:r w:rsidR="007C304A">
        <w:rPr>
          <w:u w:val="single"/>
        </w:rPr>
        <w:t>s</w:t>
      </w:r>
      <w:r w:rsidRPr="007C304A">
        <w:rPr>
          <w:u w:val="single"/>
        </w:rPr>
        <w:t xml:space="preserve"> in other entities or managed investment schemes</w:t>
      </w:r>
      <w:r w:rsidRPr="008F3593">
        <w:t>.</w:t>
      </w:r>
    </w:p>
    <w:p w:rsidR="00F42DCB" w:rsidRPr="008F3593" w:rsidRDefault="00F42DCB" w:rsidP="000A6480">
      <w:pPr>
        <w:pStyle w:val="ListParagraph"/>
        <w:numPr>
          <w:ilvl w:val="0"/>
          <w:numId w:val="4"/>
        </w:numPr>
        <w:tabs>
          <w:tab w:val="left" w:pos="567"/>
          <w:tab w:val="left" w:pos="1134"/>
        </w:tabs>
        <w:ind w:left="1134" w:hanging="567"/>
      </w:pPr>
      <w:r>
        <w:t xml:space="preserve">A CSF </w:t>
      </w:r>
      <w:r w:rsidRPr="008F3593">
        <w:t>offer is an offer that is expressly stated to be made under the CSF regime and that is eligible to be made under the regime by meeting all of the relevant requirements.</w:t>
      </w:r>
    </w:p>
    <w:p w:rsidR="00F42DCB" w:rsidRPr="008F3593" w:rsidRDefault="00F42DCB" w:rsidP="00FB191F">
      <w:pPr>
        <w:pStyle w:val="ListParagraph"/>
        <w:numPr>
          <w:ilvl w:val="0"/>
          <w:numId w:val="4"/>
        </w:numPr>
        <w:tabs>
          <w:tab w:val="left" w:pos="567"/>
          <w:tab w:val="left" w:pos="1134"/>
        </w:tabs>
        <w:ind w:left="1134" w:hanging="567"/>
      </w:pPr>
      <w:r w:rsidRPr="008F3593">
        <w:t>The follow</w:t>
      </w:r>
      <w:r>
        <w:t>ing entities are ineligible to access the CS</w:t>
      </w:r>
      <w:r w:rsidRPr="008F3593">
        <w:t xml:space="preserve">F regime as they will not satisfy the definition of a </w:t>
      </w:r>
      <w:r w:rsidR="007C304A">
        <w:t>“</w:t>
      </w:r>
      <w:r w:rsidRPr="007C304A">
        <w:rPr>
          <w:u w:val="single"/>
        </w:rPr>
        <w:t>public company limited by shares</w:t>
      </w:r>
      <w:r w:rsidR="007C304A">
        <w:t>”</w:t>
      </w:r>
      <w:r w:rsidRPr="008F3593">
        <w:t>:</w:t>
      </w:r>
    </w:p>
    <w:p w:rsidR="00F42DCB" w:rsidRPr="008F3593" w:rsidRDefault="00F42DCB" w:rsidP="00FB191F">
      <w:pPr>
        <w:pStyle w:val="ListParagraph"/>
        <w:numPr>
          <w:ilvl w:val="0"/>
          <w:numId w:val="3"/>
        </w:numPr>
        <w:tabs>
          <w:tab w:val="left" w:pos="567"/>
          <w:tab w:val="left" w:pos="1701"/>
        </w:tabs>
        <w:ind w:left="1701" w:hanging="567"/>
      </w:pPr>
      <w:r w:rsidRPr="007C304A">
        <w:rPr>
          <w:u w:val="single"/>
        </w:rPr>
        <w:t>proprietary companies</w:t>
      </w:r>
      <w:r w:rsidRPr="008F3593">
        <w:t>, as they are explicitly excluded from the definition of “public company”</w:t>
      </w:r>
      <w:r>
        <w:t>;</w:t>
      </w:r>
    </w:p>
    <w:p w:rsidR="00F42DCB" w:rsidRPr="008F3593" w:rsidRDefault="00F42DCB" w:rsidP="00FB191F">
      <w:pPr>
        <w:pStyle w:val="ListParagraph"/>
        <w:numPr>
          <w:ilvl w:val="0"/>
          <w:numId w:val="3"/>
        </w:numPr>
        <w:tabs>
          <w:tab w:val="left" w:pos="567"/>
          <w:tab w:val="left" w:pos="1701"/>
        </w:tabs>
        <w:ind w:left="1701" w:hanging="567"/>
      </w:pPr>
      <w:r w:rsidRPr="007C304A">
        <w:rPr>
          <w:u w:val="single"/>
        </w:rPr>
        <w:t xml:space="preserve">foreign companies and registrable Australian bodies that are registered under part 5B.2 of the </w:t>
      </w:r>
      <w:r w:rsidRPr="007C304A">
        <w:rPr>
          <w:i/>
          <w:u w:val="single"/>
        </w:rPr>
        <w:t>Corporations Act</w:t>
      </w:r>
      <w:r w:rsidRPr="008F3593">
        <w:t>, as they will not meet the definition of a “company” under Section 9.</w:t>
      </w:r>
    </w:p>
    <w:p w:rsidR="00F42DCB" w:rsidRDefault="00F42DCB" w:rsidP="00F42DCB">
      <w:pPr>
        <w:tabs>
          <w:tab w:val="left" w:pos="567"/>
          <w:tab w:val="left" w:pos="1134"/>
        </w:tabs>
        <w:ind w:left="1134" w:hanging="567"/>
      </w:pPr>
    </w:p>
    <w:p w:rsidR="00FB191F" w:rsidRPr="008F3593" w:rsidRDefault="00FB191F" w:rsidP="00F42DCB">
      <w:pPr>
        <w:tabs>
          <w:tab w:val="left" w:pos="567"/>
          <w:tab w:val="left" w:pos="1134"/>
        </w:tabs>
        <w:ind w:left="1134" w:hanging="567"/>
      </w:pPr>
    </w:p>
    <w:p w:rsidR="00FB191F" w:rsidRDefault="00FB191F" w:rsidP="00F42DCB">
      <w:pPr>
        <w:pStyle w:val="ListParagraph"/>
        <w:numPr>
          <w:ilvl w:val="1"/>
          <w:numId w:val="2"/>
        </w:numPr>
        <w:tabs>
          <w:tab w:val="left" w:pos="567"/>
        </w:tabs>
        <w:ind w:left="567" w:hanging="567"/>
      </w:pPr>
      <w:r>
        <w:rPr>
          <w:b/>
        </w:rPr>
        <w:t>Place of Business</w:t>
      </w:r>
    </w:p>
    <w:p w:rsidR="00F42DCB" w:rsidRDefault="00F42DCB" w:rsidP="00FB191F">
      <w:pPr>
        <w:pStyle w:val="ListParagraph"/>
        <w:tabs>
          <w:tab w:val="left" w:pos="567"/>
        </w:tabs>
        <w:ind w:left="567"/>
      </w:pPr>
      <w:r>
        <w:t>A company seeking to access funding as a crowd</w:t>
      </w:r>
      <w:r w:rsidR="000A6480">
        <w:t>-</w:t>
      </w:r>
      <w:r>
        <w:t xml:space="preserve">sourced funding entity </w:t>
      </w:r>
      <w:r w:rsidRPr="007C304A">
        <w:rPr>
          <w:u w:val="single"/>
        </w:rPr>
        <w:t>must have its principal place of business in Australia</w:t>
      </w:r>
      <w:r>
        <w:t xml:space="preserve"> at the time it is determining its eligibility to</w:t>
      </w:r>
      <w:r w:rsidR="007C304A">
        <w:t xml:space="preserve"> raise equity via</w:t>
      </w:r>
      <w:r>
        <w:t xml:space="preserve"> crowd fund</w:t>
      </w:r>
      <w:r w:rsidR="007C304A">
        <w:t>ing</w:t>
      </w:r>
      <w:r>
        <w:t>.</w:t>
      </w:r>
    </w:p>
    <w:p w:rsidR="00F42DCB" w:rsidRDefault="00F42DCB" w:rsidP="00F42DCB">
      <w:pPr>
        <w:ind w:firstLine="567"/>
        <w:rPr>
          <w:b/>
        </w:rPr>
      </w:pPr>
    </w:p>
    <w:p w:rsidR="00FB191F" w:rsidRDefault="00FB191F" w:rsidP="00F42DCB">
      <w:pPr>
        <w:ind w:firstLine="567"/>
        <w:rPr>
          <w:b/>
        </w:rPr>
      </w:pPr>
    </w:p>
    <w:p w:rsidR="00FB191F" w:rsidRDefault="00FB191F" w:rsidP="00F42DCB">
      <w:pPr>
        <w:pStyle w:val="ListParagraph"/>
        <w:numPr>
          <w:ilvl w:val="1"/>
          <w:numId w:val="2"/>
        </w:numPr>
        <w:tabs>
          <w:tab w:val="left" w:pos="567"/>
        </w:tabs>
        <w:ind w:left="567" w:hanging="567"/>
      </w:pPr>
      <w:r>
        <w:rPr>
          <w:b/>
        </w:rPr>
        <w:t>Directors</w:t>
      </w:r>
    </w:p>
    <w:p w:rsidR="00F42DCB" w:rsidRDefault="00F42DCB" w:rsidP="00FB191F">
      <w:pPr>
        <w:pStyle w:val="ListParagraph"/>
        <w:tabs>
          <w:tab w:val="left" w:pos="567"/>
        </w:tabs>
        <w:ind w:left="567"/>
      </w:pPr>
      <w:r>
        <w:t xml:space="preserve">A company wishing to raise capital from the crowd must have a </w:t>
      </w:r>
      <w:r w:rsidRPr="007C304A">
        <w:rPr>
          <w:u w:val="single"/>
        </w:rPr>
        <w:t>majority of directors</w:t>
      </w:r>
      <w:r>
        <w:t xml:space="preserve"> (not counting alternative directors) </w:t>
      </w:r>
      <w:r w:rsidRPr="007C304A">
        <w:rPr>
          <w:u w:val="single"/>
        </w:rPr>
        <w:t>that ordinarily reside in Australia</w:t>
      </w:r>
      <w:r>
        <w:t>.</w:t>
      </w:r>
    </w:p>
    <w:p w:rsidR="00F42DCB" w:rsidRDefault="00F42DCB" w:rsidP="00F42DCB">
      <w:pPr>
        <w:ind w:firstLine="567"/>
      </w:pPr>
    </w:p>
    <w:p w:rsidR="00FB191F" w:rsidRDefault="00FB191F" w:rsidP="00F42DCB">
      <w:pPr>
        <w:ind w:firstLine="567"/>
      </w:pPr>
    </w:p>
    <w:p w:rsidR="00FB191F" w:rsidRDefault="00FB191F" w:rsidP="00F42DCB">
      <w:pPr>
        <w:pStyle w:val="ListParagraph"/>
        <w:numPr>
          <w:ilvl w:val="1"/>
          <w:numId w:val="2"/>
        </w:numPr>
        <w:tabs>
          <w:tab w:val="left" w:pos="567"/>
        </w:tabs>
        <w:ind w:left="567" w:hanging="567"/>
      </w:pPr>
      <w:r>
        <w:rPr>
          <w:b/>
        </w:rPr>
        <w:t>Gross Assets</w:t>
      </w:r>
    </w:p>
    <w:p w:rsidR="00F42DCB" w:rsidRDefault="00F42DCB" w:rsidP="00FB191F">
      <w:pPr>
        <w:pStyle w:val="ListParagraph"/>
        <w:tabs>
          <w:tab w:val="left" w:pos="567"/>
        </w:tabs>
        <w:ind w:left="567"/>
      </w:pPr>
      <w:r>
        <w:t xml:space="preserve">The value of the </w:t>
      </w:r>
      <w:r w:rsidRPr="007C304A">
        <w:rPr>
          <w:u w:val="single"/>
        </w:rPr>
        <w:t>consolidated gross assets</w:t>
      </w:r>
      <w:r>
        <w:t xml:space="preserve"> of the Issuer and any related parties </w:t>
      </w:r>
      <w:r w:rsidRPr="007C304A">
        <w:rPr>
          <w:u w:val="single"/>
        </w:rPr>
        <w:t>must be less than $25 million</w:t>
      </w:r>
      <w:r>
        <w:t xml:space="preserve"> at the time the company is determining its eligibility to crowd fund.</w:t>
      </w:r>
    </w:p>
    <w:p w:rsidR="00F42DCB" w:rsidRDefault="00F42DCB" w:rsidP="00F42DCB">
      <w:pPr>
        <w:ind w:firstLine="567"/>
      </w:pPr>
    </w:p>
    <w:p w:rsidR="00FB191F" w:rsidRDefault="00FB191F" w:rsidP="00EE42A8">
      <w:pPr>
        <w:keepNext/>
        <w:keepLines/>
        <w:ind w:firstLine="567"/>
      </w:pPr>
    </w:p>
    <w:p w:rsidR="00FB191F" w:rsidRDefault="00FB191F" w:rsidP="00EE42A8">
      <w:pPr>
        <w:pStyle w:val="ListParagraph"/>
        <w:keepNext/>
        <w:keepLines/>
        <w:numPr>
          <w:ilvl w:val="1"/>
          <w:numId w:val="2"/>
        </w:numPr>
        <w:tabs>
          <w:tab w:val="left" w:pos="567"/>
        </w:tabs>
        <w:ind w:left="567" w:hanging="567"/>
      </w:pPr>
      <w:r>
        <w:rPr>
          <w:b/>
        </w:rPr>
        <w:t>Annual Revenue</w:t>
      </w:r>
    </w:p>
    <w:p w:rsidR="00F42DCB" w:rsidRDefault="00C410B5" w:rsidP="00EE42A8">
      <w:pPr>
        <w:pStyle w:val="ListParagraph"/>
        <w:keepNext/>
        <w:keepLines/>
        <w:tabs>
          <w:tab w:val="left" w:pos="567"/>
        </w:tabs>
        <w:ind w:left="567"/>
      </w:pPr>
      <w:r>
        <w:t>T</w:t>
      </w:r>
      <w:r w:rsidR="00F42DCB">
        <w:t xml:space="preserve">he company and any related parties must also have </w:t>
      </w:r>
      <w:r w:rsidR="00F42DCB" w:rsidRPr="007C304A">
        <w:rPr>
          <w:u w:val="single"/>
        </w:rPr>
        <w:t xml:space="preserve">consolidated annual revenue of less </w:t>
      </w:r>
      <w:proofErr w:type="gramStart"/>
      <w:r w:rsidR="00F42DCB" w:rsidRPr="007C304A">
        <w:rPr>
          <w:u w:val="single"/>
        </w:rPr>
        <w:t>than  $</w:t>
      </w:r>
      <w:proofErr w:type="gramEnd"/>
      <w:r w:rsidR="00F42DCB" w:rsidRPr="007C304A">
        <w:rPr>
          <w:u w:val="single"/>
        </w:rPr>
        <w:t>25 million</w:t>
      </w:r>
      <w:r w:rsidR="00F42DCB">
        <w:t>.</w:t>
      </w:r>
    </w:p>
    <w:p w:rsidR="00C410B5" w:rsidRDefault="00C410B5" w:rsidP="00C410B5">
      <w:pPr>
        <w:ind w:firstLine="567"/>
      </w:pPr>
    </w:p>
    <w:p w:rsidR="00FB191F" w:rsidRDefault="00FB191F" w:rsidP="00C410B5">
      <w:pPr>
        <w:ind w:firstLine="567"/>
      </w:pPr>
    </w:p>
    <w:p w:rsidR="00FB191F" w:rsidRDefault="00FB191F" w:rsidP="00FB191F">
      <w:pPr>
        <w:pStyle w:val="ListParagraph"/>
        <w:numPr>
          <w:ilvl w:val="1"/>
          <w:numId w:val="2"/>
        </w:numPr>
        <w:tabs>
          <w:tab w:val="left" w:pos="567"/>
        </w:tabs>
        <w:ind w:left="567" w:hanging="567"/>
      </w:pPr>
      <w:r>
        <w:rPr>
          <w:b/>
        </w:rPr>
        <w:t>Not a Listed Corporation</w:t>
      </w:r>
    </w:p>
    <w:p w:rsidR="00F42DCB" w:rsidRDefault="00C410B5" w:rsidP="00FB191F">
      <w:pPr>
        <w:pStyle w:val="ListParagraph"/>
        <w:tabs>
          <w:tab w:val="left" w:pos="567"/>
        </w:tabs>
        <w:ind w:left="567"/>
      </w:pPr>
      <w:r>
        <w:t>T</w:t>
      </w:r>
      <w:r w:rsidR="00F42DCB">
        <w:t xml:space="preserve">o be eligible for the CSF regime </w:t>
      </w:r>
      <w:r w:rsidR="00F42DCB" w:rsidRPr="007C304A">
        <w:rPr>
          <w:u w:val="single"/>
        </w:rPr>
        <w:t>neither the company nor any related parties can be a listed corporation</w:t>
      </w:r>
      <w:r w:rsidR="00F42DCB">
        <w:t>.</w:t>
      </w:r>
    </w:p>
    <w:p w:rsidR="00C410B5" w:rsidRDefault="00C410B5" w:rsidP="00C410B5">
      <w:pPr>
        <w:ind w:firstLine="567"/>
      </w:pPr>
    </w:p>
    <w:p w:rsidR="00FB191F" w:rsidRDefault="00FB191F" w:rsidP="00C410B5">
      <w:pPr>
        <w:ind w:firstLine="567"/>
      </w:pPr>
    </w:p>
    <w:p w:rsidR="00FB191F" w:rsidRDefault="00FB191F" w:rsidP="00C410B5">
      <w:pPr>
        <w:pStyle w:val="ListParagraph"/>
        <w:numPr>
          <w:ilvl w:val="1"/>
          <w:numId w:val="2"/>
        </w:numPr>
        <w:tabs>
          <w:tab w:val="left" w:pos="567"/>
        </w:tabs>
        <w:ind w:left="567" w:hanging="567"/>
      </w:pPr>
      <w:r>
        <w:rPr>
          <w:b/>
        </w:rPr>
        <w:t>Not an Investment Company</w:t>
      </w:r>
    </w:p>
    <w:p w:rsidR="00F42DCB" w:rsidRDefault="00C410B5" w:rsidP="00FB191F">
      <w:pPr>
        <w:pStyle w:val="ListParagraph"/>
        <w:tabs>
          <w:tab w:val="left" w:pos="567"/>
        </w:tabs>
        <w:ind w:left="567"/>
      </w:pPr>
      <w:r w:rsidRPr="007C304A">
        <w:rPr>
          <w:u w:val="single"/>
        </w:rPr>
        <w:t xml:space="preserve">Neither </w:t>
      </w:r>
      <w:r w:rsidR="00F42DCB" w:rsidRPr="007C304A">
        <w:rPr>
          <w:u w:val="single"/>
        </w:rPr>
        <w:t>the company, nor its related parties, can have a “substantial purpose” of investing in</w:t>
      </w:r>
      <w:r w:rsidR="00F42DCB">
        <w:t xml:space="preserve"> securities or interests in </w:t>
      </w:r>
      <w:r w:rsidR="00F42DCB" w:rsidRPr="007C304A">
        <w:rPr>
          <w:u w:val="single"/>
        </w:rPr>
        <w:t>other entities or managed investment schemes</w:t>
      </w:r>
      <w:r w:rsidR="00F42DCB">
        <w:t>.</w:t>
      </w:r>
    </w:p>
    <w:p w:rsidR="00C410B5" w:rsidRDefault="00C410B5" w:rsidP="00C410B5">
      <w:pPr>
        <w:ind w:firstLine="567"/>
      </w:pPr>
    </w:p>
    <w:p w:rsidR="00FB191F" w:rsidRDefault="00FB191F" w:rsidP="00C410B5">
      <w:pPr>
        <w:ind w:firstLine="567"/>
      </w:pPr>
    </w:p>
    <w:p w:rsidR="00FB191F" w:rsidRDefault="00FB191F" w:rsidP="00C410B5">
      <w:pPr>
        <w:pStyle w:val="ListParagraph"/>
        <w:numPr>
          <w:ilvl w:val="1"/>
          <w:numId w:val="2"/>
        </w:numPr>
        <w:tabs>
          <w:tab w:val="left" w:pos="567"/>
        </w:tabs>
        <w:ind w:left="567" w:hanging="567"/>
      </w:pPr>
      <w:r>
        <w:rPr>
          <w:b/>
        </w:rPr>
        <w:t>Issuer Cap</w:t>
      </w:r>
    </w:p>
    <w:p w:rsidR="00F42DCB" w:rsidRDefault="00C410B5" w:rsidP="00FB191F">
      <w:pPr>
        <w:pStyle w:val="ListParagraph"/>
        <w:tabs>
          <w:tab w:val="left" w:pos="567"/>
        </w:tabs>
        <w:ind w:left="567"/>
      </w:pPr>
      <w:r>
        <w:t>T</w:t>
      </w:r>
      <w:r w:rsidR="00F42DCB">
        <w:t>he maximum amount that a company can raise under the “</w:t>
      </w:r>
      <w:r w:rsidRPr="007C304A">
        <w:rPr>
          <w:u w:val="single"/>
        </w:rPr>
        <w:t>Issuer Ca</w:t>
      </w:r>
      <w:r w:rsidR="00F42DCB" w:rsidRPr="007C304A">
        <w:rPr>
          <w:u w:val="single"/>
        </w:rPr>
        <w:t>p” is $5 million</w:t>
      </w:r>
      <w:r w:rsidR="00F42DCB">
        <w:t xml:space="preserve"> in any </w:t>
      </w:r>
      <w:r>
        <w:t>twelve</w:t>
      </w:r>
      <w:r w:rsidR="00F42DCB">
        <w:t xml:space="preserve"> month period.</w:t>
      </w:r>
    </w:p>
    <w:p w:rsidR="00C410B5" w:rsidRDefault="00C410B5" w:rsidP="00C410B5">
      <w:pPr>
        <w:ind w:firstLine="567"/>
        <w:rPr>
          <w:b/>
        </w:rPr>
      </w:pPr>
    </w:p>
    <w:p w:rsidR="00FB191F" w:rsidRPr="00C410B5" w:rsidRDefault="00FB191F" w:rsidP="00C410B5">
      <w:pPr>
        <w:ind w:firstLine="567"/>
        <w:rPr>
          <w:b/>
        </w:rPr>
      </w:pPr>
    </w:p>
    <w:p w:rsidR="00FB191F" w:rsidRDefault="00FB191F" w:rsidP="00C410B5">
      <w:pPr>
        <w:pStyle w:val="ListParagraph"/>
        <w:numPr>
          <w:ilvl w:val="1"/>
          <w:numId w:val="2"/>
        </w:numPr>
        <w:tabs>
          <w:tab w:val="left" w:pos="567"/>
        </w:tabs>
        <w:ind w:left="567" w:hanging="567"/>
      </w:pPr>
      <w:r>
        <w:rPr>
          <w:b/>
        </w:rPr>
        <w:t>CSF Offer Document</w:t>
      </w:r>
    </w:p>
    <w:p w:rsidR="00F42DCB" w:rsidRDefault="00F42DCB" w:rsidP="00FB191F">
      <w:pPr>
        <w:pStyle w:val="ListParagraph"/>
        <w:tabs>
          <w:tab w:val="left" w:pos="567"/>
        </w:tabs>
        <w:ind w:left="567"/>
      </w:pPr>
      <w:r>
        <w:t>A</w:t>
      </w:r>
      <w:r w:rsidR="007C304A">
        <w:t xml:space="preserve"> “</w:t>
      </w:r>
      <w:r w:rsidR="007C304A" w:rsidRPr="007C304A">
        <w:rPr>
          <w:u w:val="single"/>
        </w:rPr>
        <w:t>CSF</w:t>
      </w:r>
      <w:r w:rsidRPr="007C304A">
        <w:rPr>
          <w:u w:val="single"/>
        </w:rPr>
        <w:t xml:space="preserve"> offer document</w:t>
      </w:r>
      <w:r w:rsidR="007C304A">
        <w:t>”</w:t>
      </w:r>
      <w:r>
        <w:t xml:space="preserve"> must be prepared for a CSF offer. </w:t>
      </w:r>
      <w:r w:rsidR="00C410B5">
        <w:t xml:space="preserve"> </w:t>
      </w:r>
      <w:r>
        <w:t>The offer document must be worded and presented in a clear concise and effective manner.</w:t>
      </w:r>
    </w:p>
    <w:p w:rsidR="00C410B5" w:rsidRDefault="00C410B5" w:rsidP="00C410B5">
      <w:pPr>
        <w:ind w:firstLine="567"/>
      </w:pPr>
    </w:p>
    <w:p w:rsidR="00FB191F" w:rsidRDefault="00FB191F" w:rsidP="00C410B5">
      <w:pPr>
        <w:ind w:firstLine="567"/>
      </w:pPr>
    </w:p>
    <w:p w:rsidR="00FB191F" w:rsidRDefault="00FB191F" w:rsidP="00C410B5">
      <w:pPr>
        <w:pStyle w:val="ListParagraph"/>
        <w:numPr>
          <w:ilvl w:val="1"/>
          <w:numId w:val="2"/>
        </w:numPr>
        <w:tabs>
          <w:tab w:val="left" w:pos="567"/>
        </w:tabs>
        <w:ind w:left="567" w:hanging="567"/>
      </w:pPr>
      <w:r>
        <w:rPr>
          <w:b/>
        </w:rPr>
        <w:t>Publishing of an Offer Document</w:t>
      </w:r>
    </w:p>
    <w:p w:rsidR="00F42DCB" w:rsidRDefault="00F42DCB" w:rsidP="00FB191F">
      <w:pPr>
        <w:pStyle w:val="ListParagraph"/>
        <w:tabs>
          <w:tab w:val="left" w:pos="567"/>
        </w:tabs>
        <w:ind w:left="567"/>
      </w:pPr>
      <w:r>
        <w:t xml:space="preserve">A </w:t>
      </w:r>
      <w:r w:rsidR="00C410B5">
        <w:t xml:space="preserve">CSF offer of a company’s </w:t>
      </w:r>
      <w:r>
        <w:t xml:space="preserve">securities </w:t>
      </w:r>
      <w:r w:rsidRPr="007C304A">
        <w:rPr>
          <w:u w:val="single"/>
        </w:rPr>
        <w:t>must be made by publishing, on a platform of a single CSF intermediary, a CSF offer document</w:t>
      </w:r>
      <w:r>
        <w:t>.</w:t>
      </w:r>
    </w:p>
    <w:p w:rsidR="00C410B5" w:rsidRDefault="00C410B5" w:rsidP="00C410B5">
      <w:pPr>
        <w:ind w:firstLine="567"/>
      </w:pPr>
    </w:p>
    <w:p w:rsidR="00FB191F" w:rsidRDefault="00FB191F" w:rsidP="00C410B5">
      <w:pPr>
        <w:ind w:firstLine="567"/>
      </w:pPr>
    </w:p>
    <w:p w:rsidR="00FB191F" w:rsidRDefault="00FB191F" w:rsidP="00C410B5">
      <w:pPr>
        <w:pStyle w:val="ListParagraph"/>
        <w:numPr>
          <w:ilvl w:val="1"/>
          <w:numId w:val="2"/>
        </w:numPr>
        <w:tabs>
          <w:tab w:val="left" w:pos="567"/>
        </w:tabs>
        <w:ind w:left="567" w:hanging="567"/>
      </w:pPr>
      <w:r>
        <w:rPr>
          <w:b/>
        </w:rPr>
        <w:t>CSF Intermediary</w:t>
      </w:r>
    </w:p>
    <w:p w:rsidR="00F42DCB" w:rsidRDefault="00C410B5" w:rsidP="00FB191F">
      <w:pPr>
        <w:pStyle w:val="ListParagraph"/>
        <w:tabs>
          <w:tab w:val="left" w:pos="567"/>
        </w:tabs>
        <w:ind w:left="567"/>
      </w:pPr>
      <w:r>
        <w:t>T</w:t>
      </w:r>
      <w:r w:rsidR="00F42DCB" w:rsidRPr="00C410B5">
        <w:t xml:space="preserve">he intermediary is a business holding an </w:t>
      </w:r>
      <w:r w:rsidR="00F42DCB" w:rsidRPr="007C304A">
        <w:rPr>
          <w:u w:val="single"/>
        </w:rPr>
        <w:t xml:space="preserve">Australian </w:t>
      </w:r>
      <w:r w:rsidRPr="007C304A">
        <w:rPr>
          <w:u w:val="single"/>
        </w:rPr>
        <w:t>Financial Services Industry Li</w:t>
      </w:r>
      <w:r w:rsidR="00F42DCB" w:rsidRPr="007C304A">
        <w:rPr>
          <w:u w:val="single"/>
        </w:rPr>
        <w:t>cense</w:t>
      </w:r>
      <w:r w:rsidR="00F42DCB">
        <w:t xml:space="preserve"> who acts as the “</w:t>
      </w:r>
      <w:r>
        <w:t>Ga</w:t>
      </w:r>
      <w:r w:rsidR="00F42DCB">
        <w:t xml:space="preserve">tekeeper” and is required to check all documentation before it is lodged on the </w:t>
      </w:r>
      <w:r>
        <w:t>Gat</w:t>
      </w:r>
      <w:r w:rsidR="00F42DCB">
        <w:t>ekeeper</w:t>
      </w:r>
      <w:r>
        <w:t>’</w:t>
      </w:r>
      <w:r w:rsidR="00F42DCB">
        <w:t>s website.</w:t>
      </w:r>
    </w:p>
    <w:p w:rsidR="00C410B5" w:rsidRDefault="00C410B5" w:rsidP="00C410B5">
      <w:pPr>
        <w:ind w:firstLine="567"/>
      </w:pPr>
    </w:p>
    <w:p w:rsidR="00F42DCB" w:rsidRDefault="00F42DCB" w:rsidP="00C410B5">
      <w:pPr>
        <w:pStyle w:val="ListParagraph"/>
        <w:tabs>
          <w:tab w:val="left" w:pos="567"/>
        </w:tabs>
        <w:ind w:left="567"/>
      </w:pPr>
      <w:r>
        <w:t xml:space="preserve">The intermediary is required to ensure that the </w:t>
      </w:r>
      <w:r w:rsidRPr="007C304A">
        <w:rPr>
          <w:u w:val="single"/>
        </w:rPr>
        <w:t>documentation</w:t>
      </w:r>
      <w:r>
        <w:t xml:space="preserve"> that is being prepared by the </w:t>
      </w:r>
      <w:r w:rsidR="00C410B5">
        <w:t>I</w:t>
      </w:r>
      <w:r>
        <w:t xml:space="preserve">ssuer </w:t>
      </w:r>
      <w:r w:rsidRPr="007C304A">
        <w:rPr>
          <w:u w:val="single"/>
        </w:rPr>
        <w:t>is accurate</w:t>
      </w:r>
      <w:r>
        <w:t xml:space="preserve"> and that a </w:t>
      </w:r>
      <w:r w:rsidR="007C304A">
        <w:t>“</w:t>
      </w:r>
      <w:r w:rsidRPr="007C304A">
        <w:rPr>
          <w:u w:val="single"/>
        </w:rPr>
        <w:t>communication facility</w:t>
      </w:r>
      <w:r w:rsidR="007C304A">
        <w:t>”</w:t>
      </w:r>
      <w:r>
        <w:t xml:space="preserve"> is available for potential investors to ask questions of the directors and management team of the</w:t>
      </w:r>
      <w:r w:rsidR="00C410B5">
        <w:t xml:space="preserve"> Is</w:t>
      </w:r>
      <w:r>
        <w:t>suer.</w:t>
      </w:r>
    </w:p>
    <w:p w:rsidR="00C410B5" w:rsidRDefault="00C410B5" w:rsidP="00C410B5">
      <w:pPr>
        <w:ind w:left="567"/>
      </w:pPr>
    </w:p>
    <w:p w:rsidR="00F42DCB" w:rsidRDefault="00F42DCB" w:rsidP="00C410B5">
      <w:pPr>
        <w:ind w:left="567"/>
      </w:pPr>
      <w:r>
        <w:t xml:space="preserve">The intermediary has a wide range of responsibilities under the legislation. </w:t>
      </w:r>
      <w:r w:rsidR="00C410B5">
        <w:t xml:space="preserve"> </w:t>
      </w:r>
      <w:r>
        <w:t xml:space="preserve">More detailed comments on the intermediaries responsibilities are outlined in </w:t>
      </w:r>
      <w:hyperlink r:id="rId7" w:history="1">
        <w:r w:rsidRPr="009D7B2E">
          <w:rPr>
            <w:rStyle w:val="Hyperlink"/>
          </w:rPr>
          <w:t>BAS</w:t>
        </w:r>
        <w:r w:rsidR="007C304A" w:rsidRPr="009D7B2E">
          <w:rPr>
            <w:rStyle w:val="Hyperlink"/>
          </w:rPr>
          <w:t>5025</w:t>
        </w:r>
      </w:hyperlink>
      <w:r w:rsidR="00C410B5">
        <w:t>.</w:t>
      </w:r>
    </w:p>
    <w:p w:rsidR="00C410B5" w:rsidRDefault="00C410B5" w:rsidP="00C410B5">
      <w:pPr>
        <w:ind w:left="567"/>
      </w:pPr>
    </w:p>
    <w:p w:rsidR="00F42DCB" w:rsidRDefault="00F42DCB" w:rsidP="00C410B5">
      <w:pPr>
        <w:ind w:left="567"/>
      </w:pPr>
      <w:r>
        <w:t>The intermediary is required to determine whether a person who is proposing to invest is a “</w:t>
      </w:r>
      <w:r w:rsidRPr="007C304A">
        <w:rPr>
          <w:u w:val="single"/>
        </w:rPr>
        <w:t>retail client</w:t>
      </w:r>
      <w:r>
        <w:t xml:space="preserve">”. </w:t>
      </w:r>
      <w:r w:rsidR="00C410B5">
        <w:t xml:space="preserve"> </w:t>
      </w:r>
      <w:r>
        <w:t>If so the intermediary is required to monitor a retail client’s investment in the</w:t>
      </w:r>
      <w:r w:rsidR="00C410B5">
        <w:t xml:space="preserve"> I</w:t>
      </w:r>
      <w:r>
        <w:t xml:space="preserve">ssuer over the preceding </w:t>
      </w:r>
      <w:r w:rsidR="00C410B5">
        <w:t>twelve</w:t>
      </w:r>
      <w:r>
        <w:t xml:space="preserve"> months to ensure that the retail client has invested no more than $10,000 into the </w:t>
      </w:r>
      <w:r w:rsidR="00C410B5">
        <w:t>I</w:t>
      </w:r>
      <w:r>
        <w:t>ssuer.</w:t>
      </w:r>
    </w:p>
    <w:p w:rsidR="00C410B5" w:rsidRDefault="00C410B5" w:rsidP="00C410B5">
      <w:pPr>
        <w:ind w:left="567"/>
      </w:pPr>
    </w:p>
    <w:p w:rsidR="00F42DCB" w:rsidRDefault="00F42DCB" w:rsidP="00FB191F">
      <w:pPr>
        <w:pStyle w:val="ListParagraph"/>
        <w:tabs>
          <w:tab w:val="left" w:pos="567"/>
        </w:tabs>
        <w:ind w:left="567"/>
      </w:pPr>
      <w:r w:rsidRPr="007C304A">
        <w:rPr>
          <w:u w:val="single"/>
        </w:rPr>
        <w:t>Intermediaries must not financially assist a retail client to acquire securities</w:t>
      </w:r>
      <w:r>
        <w:t>.</w:t>
      </w:r>
    </w:p>
    <w:p w:rsidR="00C410B5" w:rsidRDefault="00C410B5" w:rsidP="00C410B5">
      <w:pPr>
        <w:ind w:firstLine="567"/>
      </w:pPr>
    </w:p>
    <w:p w:rsidR="00A37054" w:rsidRDefault="00A37054" w:rsidP="00C410B5">
      <w:pPr>
        <w:ind w:firstLine="567"/>
      </w:pPr>
      <w:r>
        <w:t>(</w:t>
      </w:r>
      <w:hyperlink r:id="rId8" w:history="1">
        <w:r w:rsidRPr="00031C65">
          <w:rPr>
            <w:rStyle w:val="Hyperlink"/>
          </w:rPr>
          <w:t>Refer to BAS5025</w:t>
        </w:r>
      </w:hyperlink>
      <w:r>
        <w:t>)</w:t>
      </w:r>
    </w:p>
    <w:p w:rsidR="00F42DCB" w:rsidRPr="00C410B5" w:rsidRDefault="00F42DCB" w:rsidP="00FB191F">
      <w:pPr>
        <w:ind w:firstLine="567"/>
        <w:rPr>
          <w:b/>
        </w:rPr>
      </w:pPr>
    </w:p>
    <w:p w:rsidR="00FB191F" w:rsidRDefault="00FB191F" w:rsidP="00C410B5">
      <w:pPr>
        <w:pStyle w:val="ListParagraph"/>
        <w:numPr>
          <w:ilvl w:val="1"/>
          <w:numId w:val="2"/>
        </w:numPr>
        <w:tabs>
          <w:tab w:val="left" w:pos="567"/>
        </w:tabs>
        <w:ind w:left="567" w:hanging="567"/>
      </w:pPr>
      <w:r>
        <w:rPr>
          <w:b/>
        </w:rPr>
        <w:t>Retail Investors</w:t>
      </w:r>
    </w:p>
    <w:p w:rsidR="00F42DCB" w:rsidRDefault="00C410B5" w:rsidP="00FB191F">
      <w:pPr>
        <w:pStyle w:val="ListParagraph"/>
        <w:tabs>
          <w:tab w:val="left" w:pos="567"/>
        </w:tabs>
        <w:ind w:left="567"/>
      </w:pPr>
      <w:r>
        <w:t>R</w:t>
      </w:r>
      <w:r w:rsidR="00F42DCB">
        <w:t xml:space="preserve">etail investors have a </w:t>
      </w:r>
      <w:r w:rsidR="00F42DCB" w:rsidRPr="007C304A">
        <w:rPr>
          <w:u w:val="single"/>
        </w:rPr>
        <w:t xml:space="preserve">cooling off period of five </w:t>
      </w:r>
      <w:r w:rsidR="007C304A">
        <w:rPr>
          <w:u w:val="single"/>
        </w:rPr>
        <w:t xml:space="preserve">business </w:t>
      </w:r>
      <w:r w:rsidR="00F42DCB" w:rsidRPr="007C304A">
        <w:rPr>
          <w:u w:val="single"/>
        </w:rPr>
        <w:t>days</w:t>
      </w:r>
      <w:r>
        <w:t>.</w:t>
      </w:r>
    </w:p>
    <w:p w:rsidR="00C410B5" w:rsidRDefault="00C410B5" w:rsidP="00C410B5">
      <w:pPr>
        <w:pStyle w:val="ListParagraph"/>
        <w:tabs>
          <w:tab w:val="left" w:pos="567"/>
        </w:tabs>
        <w:ind w:left="567"/>
      </w:pPr>
    </w:p>
    <w:p w:rsidR="00F42DCB" w:rsidRDefault="00C410B5" w:rsidP="00FB191F">
      <w:pPr>
        <w:pStyle w:val="ListParagraph"/>
        <w:tabs>
          <w:tab w:val="left" w:pos="567"/>
        </w:tabs>
        <w:ind w:left="567"/>
      </w:pPr>
      <w:r>
        <w:t>T</w:t>
      </w:r>
      <w:r w:rsidR="00F42DCB">
        <w:t>he intermediaries need to ensure that retail investors are aware of the risks of investing in a CSF entity.</w:t>
      </w:r>
    </w:p>
    <w:p w:rsidR="00C410B5" w:rsidRDefault="00C410B5" w:rsidP="00C410B5">
      <w:pPr>
        <w:pStyle w:val="ListParagraph"/>
        <w:tabs>
          <w:tab w:val="left" w:pos="567"/>
        </w:tabs>
        <w:ind w:left="567"/>
      </w:pPr>
    </w:p>
    <w:p w:rsidR="00F42DCB" w:rsidRDefault="00F42DCB" w:rsidP="00FB191F">
      <w:pPr>
        <w:pStyle w:val="ListParagraph"/>
        <w:tabs>
          <w:tab w:val="left" w:pos="567"/>
        </w:tabs>
        <w:ind w:left="567"/>
      </w:pPr>
      <w:r>
        <w:t xml:space="preserve">The intermediary has to ensure that they have prominently displayed on the platform the </w:t>
      </w:r>
      <w:r w:rsidR="007C304A">
        <w:t>“</w:t>
      </w:r>
      <w:r w:rsidRPr="007C304A">
        <w:rPr>
          <w:u w:val="single"/>
        </w:rPr>
        <w:t>CSF risk warning</w:t>
      </w:r>
      <w:r w:rsidR="007C304A">
        <w:t>”</w:t>
      </w:r>
      <w:r>
        <w:t xml:space="preserve">, information on </w:t>
      </w:r>
      <w:r w:rsidR="007C304A">
        <w:t>“</w:t>
      </w:r>
      <w:r w:rsidRPr="007C304A">
        <w:rPr>
          <w:u w:val="single"/>
        </w:rPr>
        <w:t>cooling off rights</w:t>
      </w:r>
      <w:r w:rsidR="007C304A">
        <w:t>”</w:t>
      </w:r>
      <w:r>
        <w:t xml:space="preserve">, and </w:t>
      </w:r>
      <w:r w:rsidRPr="007C304A">
        <w:rPr>
          <w:u w:val="single"/>
        </w:rPr>
        <w:t xml:space="preserve">fees charged to and interests in an </w:t>
      </w:r>
      <w:r w:rsidR="00C410B5" w:rsidRPr="007C304A">
        <w:rPr>
          <w:u w:val="single"/>
        </w:rPr>
        <w:t>I</w:t>
      </w:r>
      <w:r w:rsidRPr="007C304A">
        <w:rPr>
          <w:u w:val="single"/>
        </w:rPr>
        <w:t>ssuer company</w:t>
      </w:r>
      <w:r>
        <w:t>.</w:t>
      </w:r>
    </w:p>
    <w:p w:rsidR="00C410B5" w:rsidRDefault="00C410B5" w:rsidP="00C410B5">
      <w:pPr>
        <w:pStyle w:val="ListParagraph"/>
        <w:tabs>
          <w:tab w:val="left" w:pos="567"/>
        </w:tabs>
        <w:ind w:left="567"/>
      </w:pPr>
    </w:p>
    <w:p w:rsidR="00FB191F" w:rsidRDefault="00FB191F" w:rsidP="00C410B5">
      <w:pPr>
        <w:pStyle w:val="ListParagraph"/>
        <w:tabs>
          <w:tab w:val="left" w:pos="567"/>
        </w:tabs>
        <w:ind w:left="567"/>
      </w:pPr>
    </w:p>
    <w:p w:rsidR="00010F0B" w:rsidRDefault="00010F0B" w:rsidP="00C410B5">
      <w:pPr>
        <w:pStyle w:val="ListParagraph"/>
        <w:tabs>
          <w:tab w:val="left" w:pos="567"/>
        </w:tabs>
        <w:ind w:left="567"/>
      </w:pPr>
    </w:p>
    <w:p w:rsidR="00FB191F" w:rsidRDefault="00FB191F" w:rsidP="00C410B5">
      <w:pPr>
        <w:pStyle w:val="ListParagraph"/>
        <w:numPr>
          <w:ilvl w:val="1"/>
          <w:numId w:val="2"/>
        </w:numPr>
        <w:tabs>
          <w:tab w:val="left" w:pos="567"/>
        </w:tabs>
        <w:ind w:left="567" w:hanging="567"/>
      </w:pPr>
      <w:r>
        <w:rPr>
          <w:b/>
        </w:rPr>
        <w:t>Companies Making a CSF Offer</w:t>
      </w:r>
    </w:p>
    <w:p w:rsidR="00F42DCB" w:rsidRDefault="00C410B5" w:rsidP="00FB191F">
      <w:pPr>
        <w:pStyle w:val="ListParagraph"/>
        <w:tabs>
          <w:tab w:val="left" w:pos="567"/>
        </w:tabs>
        <w:ind w:left="567"/>
      </w:pPr>
      <w:r>
        <w:t>M</w:t>
      </w:r>
      <w:r w:rsidR="00F42DCB">
        <w:t xml:space="preserve">ust not </w:t>
      </w:r>
      <w:r w:rsidR="00010F0B">
        <w:t>“</w:t>
      </w:r>
      <w:r w:rsidR="00F42DCB" w:rsidRPr="00010F0B">
        <w:rPr>
          <w:u w:val="single"/>
        </w:rPr>
        <w:t>financially assist</w:t>
      </w:r>
      <w:r w:rsidR="00010F0B">
        <w:t>”</w:t>
      </w:r>
      <w:r w:rsidR="00F42DCB">
        <w:t xml:space="preserve"> retail clients to acquire securities</w:t>
      </w:r>
      <w:r>
        <w:t>.</w:t>
      </w:r>
    </w:p>
    <w:p w:rsidR="00C410B5" w:rsidRDefault="00C410B5" w:rsidP="00C410B5">
      <w:pPr>
        <w:pStyle w:val="ListParagraph"/>
        <w:tabs>
          <w:tab w:val="left" w:pos="567"/>
        </w:tabs>
        <w:ind w:left="567"/>
      </w:pPr>
    </w:p>
    <w:p w:rsidR="00F42DCB" w:rsidRDefault="00C410B5" w:rsidP="00FB191F">
      <w:pPr>
        <w:pStyle w:val="ListParagraph"/>
        <w:tabs>
          <w:tab w:val="left" w:pos="567"/>
        </w:tabs>
        <w:ind w:left="567"/>
      </w:pPr>
      <w:r>
        <w:t>M</w:t>
      </w:r>
      <w:r w:rsidR="00F42DCB">
        <w:t>ust not make</w:t>
      </w:r>
      <w:r w:rsidR="00010F0B">
        <w:t>/prepare</w:t>
      </w:r>
      <w:r w:rsidR="00F42DCB">
        <w:t xml:space="preserve"> an offer that </w:t>
      </w:r>
      <w:r w:rsidR="00F42DCB" w:rsidRPr="00010F0B">
        <w:rPr>
          <w:u w:val="single"/>
        </w:rPr>
        <w:t>relates to a company that has not been formed or does not exist</w:t>
      </w:r>
      <w:r>
        <w:t>.</w:t>
      </w:r>
    </w:p>
    <w:p w:rsidR="00F42DCB" w:rsidRDefault="00F42DCB" w:rsidP="00C410B5">
      <w:pPr>
        <w:ind w:firstLine="567"/>
      </w:pPr>
    </w:p>
    <w:sectPr w:rsidR="00F42DCB" w:rsidSect="0036786C">
      <w:headerReference w:type="default" r:id="rId9"/>
      <w:footerReference w:type="default" r:id="rId10"/>
      <w:pgSz w:w="11906" w:h="16838"/>
      <w:pgMar w:top="851" w:right="1259" w:bottom="851"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D1C" w:rsidRDefault="00FB0D1C" w:rsidP="00FB0D1C">
      <w:r>
        <w:separator/>
      </w:r>
    </w:p>
  </w:endnote>
  <w:endnote w:type="continuationSeparator" w:id="0">
    <w:p w:rsidR="00FB0D1C" w:rsidRDefault="00FB0D1C" w:rsidP="00FB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D1C" w:rsidRPr="00FB0D1C" w:rsidRDefault="00FB0D1C" w:rsidP="00FB0D1C">
    <w:pPr>
      <w:pStyle w:val="Footer"/>
      <w:pBdr>
        <w:top w:val="double" w:sz="4" w:space="1" w:color="auto"/>
      </w:pBdr>
      <w:jc w:val="center"/>
      <w:rPr>
        <w:b/>
        <w:bCs/>
        <w:i/>
        <w:iCs/>
        <w:sz w:val="16"/>
        <w:szCs w:val="16"/>
      </w:rPr>
    </w:pPr>
    <w:r w:rsidRPr="00FB0D1C">
      <w:rPr>
        <w:b/>
        <w:bCs/>
        <w:i/>
        <w:iCs/>
        <w:sz w:val="16"/>
        <w:szCs w:val="16"/>
      </w:rPr>
      <w:sym w:font="Symbol" w:char="F0D3"/>
    </w:r>
    <w:r w:rsidRPr="00FB0D1C">
      <w:rPr>
        <w:b/>
        <w:bCs/>
        <w:i/>
        <w:iCs/>
        <w:sz w:val="16"/>
        <w:szCs w:val="16"/>
      </w:rPr>
      <w:t xml:space="preserve">  -  ESS BIZTOOLS Pty </w:t>
    </w:r>
    <w:proofErr w:type="gramStart"/>
    <w:r w:rsidRPr="00FB0D1C">
      <w:rPr>
        <w:b/>
        <w:bCs/>
        <w:i/>
        <w:iCs/>
        <w:sz w:val="16"/>
        <w:szCs w:val="16"/>
      </w:rPr>
      <w:t>Ltd  -</w:t>
    </w:r>
    <w:proofErr w:type="gramEnd"/>
    <w:r w:rsidRPr="00FB0D1C">
      <w:rPr>
        <w:b/>
        <w:bCs/>
        <w:i/>
        <w:iCs/>
        <w:sz w:val="16"/>
        <w:szCs w:val="16"/>
      </w:rPr>
      <w:t xml:space="preserve">  ACN:  078 451 439</w:t>
    </w:r>
  </w:p>
  <w:p w:rsidR="00FB0D1C" w:rsidRPr="00FB0D1C" w:rsidRDefault="00484CAC" w:rsidP="00FB0D1C">
    <w:pPr>
      <w:pStyle w:val="Footer"/>
      <w:jc w:val="right"/>
      <w:rPr>
        <w:b/>
        <w:bCs/>
        <w:i/>
        <w:sz w:val="16"/>
        <w:szCs w:val="16"/>
      </w:rPr>
    </w:pPr>
    <w:r>
      <w:rPr>
        <w:b/>
        <w:bCs/>
        <w:i/>
        <w:sz w:val="16"/>
        <w:szCs w:val="16"/>
      </w:rPr>
      <w:t>BAS</w:t>
    </w:r>
    <w:r w:rsidR="00F42DCB">
      <w:rPr>
        <w:b/>
        <w:bCs/>
        <w:i/>
        <w:sz w:val="16"/>
        <w:szCs w:val="16"/>
      </w:rPr>
      <w:t>5005</w:t>
    </w:r>
  </w:p>
  <w:p w:rsidR="00FB0D1C" w:rsidRPr="00FB0D1C" w:rsidRDefault="00A37054" w:rsidP="00FB0D1C">
    <w:pPr>
      <w:pStyle w:val="Footer"/>
      <w:jc w:val="right"/>
      <w:rPr>
        <w:b/>
        <w:bCs/>
        <w:i/>
        <w:sz w:val="16"/>
        <w:szCs w:val="16"/>
      </w:rPr>
    </w:pPr>
    <w:r>
      <w:rPr>
        <w:b/>
        <w:bCs/>
        <w:i/>
        <w:sz w:val="16"/>
        <w:szCs w:val="16"/>
      </w:rPr>
      <w:t>0</w:t>
    </w:r>
    <w:r w:rsidR="009D7B2E">
      <w:rPr>
        <w:b/>
        <w:bCs/>
        <w:i/>
        <w:sz w:val="16"/>
        <w:szCs w:val="16"/>
      </w:rPr>
      <w:t>9</w:t>
    </w:r>
    <w:r w:rsidR="00EB7AF5">
      <w:rPr>
        <w:b/>
        <w:bCs/>
        <w:i/>
        <w:sz w:val="16"/>
        <w:szCs w:val="16"/>
      </w:rPr>
      <w:t>0</w:t>
    </w:r>
    <w:r>
      <w:rPr>
        <w:b/>
        <w:bCs/>
        <w:i/>
        <w:sz w:val="16"/>
        <w:szCs w:val="16"/>
      </w:rPr>
      <w:t>5</w:t>
    </w:r>
    <w:r w:rsidR="00512A69">
      <w:rPr>
        <w:b/>
        <w:bCs/>
        <w:i/>
        <w:sz w:val="16"/>
        <w:szCs w:val="16"/>
      </w:rPr>
      <w:t>17</w:t>
    </w:r>
  </w:p>
  <w:p w:rsidR="00FB0D1C" w:rsidRDefault="00FB0D1C" w:rsidP="00FB0D1C">
    <w:pPr>
      <w:pStyle w:val="Footer"/>
      <w:jc w:val="right"/>
    </w:pPr>
    <w:r w:rsidRPr="00FB0D1C">
      <w:rPr>
        <w:b/>
        <w:bCs/>
        <w:i/>
        <w:sz w:val="16"/>
        <w:szCs w:val="16"/>
      </w:rPr>
      <w:t xml:space="preserve">Page </w:t>
    </w:r>
    <w:r w:rsidRPr="00FB0D1C">
      <w:rPr>
        <w:rStyle w:val="PageNumber"/>
        <w:b/>
        <w:bCs/>
        <w:i/>
        <w:sz w:val="16"/>
        <w:szCs w:val="16"/>
      </w:rPr>
      <w:fldChar w:fldCharType="begin"/>
    </w:r>
    <w:r w:rsidRPr="00FB0D1C">
      <w:rPr>
        <w:rStyle w:val="PageNumber"/>
        <w:b/>
        <w:bCs/>
        <w:i/>
        <w:sz w:val="16"/>
        <w:szCs w:val="16"/>
      </w:rPr>
      <w:instrText xml:space="preserve"> PAGE </w:instrText>
    </w:r>
    <w:r w:rsidRPr="00FB0D1C">
      <w:rPr>
        <w:rStyle w:val="PageNumber"/>
        <w:b/>
        <w:bCs/>
        <w:i/>
        <w:sz w:val="16"/>
        <w:szCs w:val="16"/>
      </w:rPr>
      <w:fldChar w:fldCharType="separate"/>
    </w:r>
    <w:r w:rsidR="00B31C3F">
      <w:rPr>
        <w:rStyle w:val="PageNumber"/>
        <w:b/>
        <w:bCs/>
        <w:i/>
        <w:noProof/>
        <w:sz w:val="16"/>
        <w:szCs w:val="16"/>
      </w:rPr>
      <w:t>3</w:t>
    </w:r>
    <w:r w:rsidRPr="00FB0D1C">
      <w:rPr>
        <w:rStyle w:val="PageNumber"/>
        <w:b/>
        <w:bCs/>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D1C" w:rsidRDefault="00FB0D1C" w:rsidP="00FB0D1C">
      <w:r>
        <w:separator/>
      </w:r>
    </w:p>
  </w:footnote>
  <w:footnote w:type="continuationSeparator" w:id="0">
    <w:p w:rsidR="00FB0D1C" w:rsidRDefault="00FB0D1C" w:rsidP="00FB0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1C3F" w:rsidRDefault="00B31C3F" w:rsidP="00B31C3F">
    <w:pPr>
      <w:pStyle w:val="Header"/>
      <w:tabs>
        <w:tab w:val="left" w:pos="3465"/>
      </w:tabs>
    </w:pPr>
    <w:r>
      <w:rPr>
        <w:noProof/>
      </w:rPr>
      <mc:AlternateContent>
        <mc:Choice Requires="wps">
          <w:drawing>
            <wp:anchor distT="0" distB="0" distL="114300" distR="114300" simplePos="0" relativeHeight="251659264" behindDoc="1" locked="0" layoutInCell="1" allowOverlap="1">
              <wp:simplePos x="0" y="0"/>
              <wp:positionH relativeFrom="column">
                <wp:posOffset>2212263</wp:posOffset>
              </wp:positionH>
              <wp:positionV relativeFrom="paragraph">
                <wp:posOffset>22530</wp:posOffset>
              </wp:positionV>
              <wp:extent cx="3751580" cy="464820"/>
              <wp:effectExtent l="3175" t="381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580" cy="464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1C3F" w:rsidRPr="0098713F" w:rsidRDefault="00B31C3F" w:rsidP="00B31C3F">
                          <w:pPr>
                            <w:jc w:val="right"/>
                            <w:rPr>
                              <w:b/>
                              <w:sz w:val="16"/>
                              <w:szCs w:val="16"/>
                            </w:rPr>
                          </w:pPr>
                          <w:r w:rsidRPr="0098713F">
                            <w:rPr>
                              <w:b/>
                              <w:sz w:val="16"/>
                              <w:szCs w:val="16"/>
                            </w:rPr>
                            <w:t>12 Eclipse Street, Rowes Bay, Townsville Q 4810</w:t>
                          </w:r>
                        </w:p>
                        <w:p w:rsidR="00B31C3F" w:rsidRDefault="00B31C3F" w:rsidP="00B31C3F">
                          <w:pPr>
                            <w:jc w:val="right"/>
                            <w:rPr>
                              <w:b/>
                              <w:sz w:val="16"/>
                              <w:szCs w:val="16"/>
                            </w:rPr>
                          </w:pPr>
                          <w:r w:rsidRPr="0098713F">
                            <w:rPr>
                              <w:b/>
                              <w:sz w:val="16"/>
                              <w:szCs w:val="16"/>
                            </w:rPr>
                            <w:t>Ph</w:t>
                          </w:r>
                          <w:proofErr w:type="gramStart"/>
                          <w:r w:rsidRPr="0098713F">
                            <w:rPr>
                              <w:b/>
                              <w:sz w:val="16"/>
                              <w:szCs w:val="16"/>
                            </w:rPr>
                            <w:t>:  (</w:t>
                          </w:r>
                          <w:proofErr w:type="gramEnd"/>
                          <w:r w:rsidRPr="0098713F">
                            <w:rPr>
                              <w:b/>
                              <w:sz w:val="16"/>
                              <w:szCs w:val="16"/>
                            </w:rPr>
                            <w:t xml:space="preserve">07) 4724 1118    Email:  </w:t>
                          </w:r>
                          <w:hyperlink r:id="rId1" w:history="1">
                            <w:r w:rsidRPr="00AC361B">
                              <w:rPr>
                                <w:rStyle w:val="Hyperlink"/>
                                <w:b/>
                                <w:sz w:val="16"/>
                                <w:szCs w:val="16"/>
                              </w:rPr>
                              <w:t>peter@essbiztools.com.au</w:t>
                            </w:r>
                          </w:hyperlink>
                        </w:p>
                        <w:p w:rsidR="00B31C3F" w:rsidRPr="0098713F" w:rsidRDefault="00B31C3F" w:rsidP="00B31C3F">
                          <w:pPr>
                            <w:jc w:val="right"/>
                            <w:rPr>
                              <w:b/>
                              <w:sz w:val="16"/>
                              <w:szCs w:val="16"/>
                            </w:rPr>
                          </w:pPr>
                          <w:r>
                            <w:rPr>
                              <w:b/>
                              <w:sz w:val="16"/>
                              <w:szCs w:val="16"/>
                            </w:rPr>
                            <w:t xml:space="preserve">W:  </w:t>
                          </w:r>
                          <w:hyperlink r:id="rId2" w:history="1">
                            <w:r w:rsidRPr="003E7571">
                              <w:rPr>
                                <w:rStyle w:val="Hyperlink"/>
                                <w:b/>
                                <w:sz w:val="16"/>
                                <w:szCs w:val="16"/>
                              </w:rPr>
                              <w:t>http://www.essbiztools.com.au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4.2pt;margin-top:1.75pt;width:295.4pt;height:3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1jYggIAAA8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" stroked="f">
              <v:textbox>
                <w:txbxContent>
                  <w:p w:rsidR="00B31C3F" w:rsidRPr="0098713F" w:rsidRDefault="00B31C3F" w:rsidP="00B31C3F">
                    <w:pPr>
                      <w:jc w:val="right"/>
                      <w:rPr>
                        <w:b/>
                        <w:sz w:val="16"/>
                        <w:szCs w:val="16"/>
                      </w:rPr>
                    </w:pPr>
                    <w:r w:rsidRPr="0098713F">
                      <w:rPr>
                        <w:b/>
                        <w:sz w:val="16"/>
                        <w:szCs w:val="16"/>
                      </w:rPr>
                      <w:t>12 Eclipse Street, Rowes Bay, Townsville Q 4810</w:t>
                    </w:r>
                  </w:p>
                  <w:p w:rsidR="00B31C3F" w:rsidRDefault="00B31C3F" w:rsidP="00B31C3F">
                    <w:pPr>
                      <w:jc w:val="right"/>
                      <w:rPr>
                        <w:b/>
                        <w:sz w:val="16"/>
                        <w:szCs w:val="16"/>
                      </w:rPr>
                    </w:pPr>
                    <w:r w:rsidRPr="0098713F">
                      <w:rPr>
                        <w:b/>
                        <w:sz w:val="16"/>
                        <w:szCs w:val="16"/>
                      </w:rPr>
                      <w:t>Ph</w:t>
                    </w:r>
                    <w:proofErr w:type="gramStart"/>
                    <w:r w:rsidRPr="0098713F">
                      <w:rPr>
                        <w:b/>
                        <w:sz w:val="16"/>
                        <w:szCs w:val="16"/>
                      </w:rPr>
                      <w:t>:  (</w:t>
                    </w:r>
                    <w:proofErr w:type="gramEnd"/>
                    <w:r w:rsidRPr="0098713F">
                      <w:rPr>
                        <w:b/>
                        <w:sz w:val="16"/>
                        <w:szCs w:val="16"/>
                      </w:rPr>
                      <w:t xml:space="preserve">07) 4724 1118    Email:  </w:t>
                    </w:r>
                    <w:hyperlink r:id="rId3" w:history="1">
                      <w:r w:rsidRPr="00AC361B">
                        <w:rPr>
                          <w:rStyle w:val="Hyperlink"/>
                          <w:b/>
                          <w:sz w:val="16"/>
                          <w:szCs w:val="16"/>
                        </w:rPr>
                        <w:t>peter@essbiztools.com.au</w:t>
                      </w:r>
                    </w:hyperlink>
                  </w:p>
                  <w:p w:rsidR="00B31C3F" w:rsidRPr="0098713F" w:rsidRDefault="00B31C3F" w:rsidP="00B31C3F">
                    <w:pPr>
                      <w:jc w:val="right"/>
                      <w:rPr>
                        <w:b/>
                        <w:sz w:val="16"/>
                        <w:szCs w:val="16"/>
                      </w:rPr>
                    </w:pPr>
                    <w:r>
                      <w:rPr>
                        <w:b/>
                        <w:sz w:val="16"/>
                        <w:szCs w:val="16"/>
                      </w:rPr>
                      <w:t xml:space="preserve">W:  </w:t>
                    </w:r>
                    <w:hyperlink r:id="rId4" w:history="1">
                      <w:r w:rsidRPr="003E7571">
                        <w:rPr>
                          <w:rStyle w:val="Hyperlink"/>
                          <w:b/>
                          <w:sz w:val="16"/>
                          <w:szCs w:val="16"/>
                        </w:rPr>
                        <w:t>http://www.essbiztools.com.au</w:t>
                      </w:r>
                    </w:hyperlink>
                  </w:p>
                </w:txbxContent>
              </v:textbox>
            </v:shape>
          </w:pict>
        </mc:Fallback>
      </mc:AlternateContent>
    </w:r>
    <w:r w:rsidRPr="003E7571">
      <w:rPr>
        <w:noProof/>
      </w:rPr>
      <w:drawing>
        <wp:inline distT="0" distB="0" distL="0" distR="0">
          <wp:extent cx="1762760" cy="511810"/>
          <wp:effectExtent l="0" t="0" r="8890" b="2540"/>
          <wp:docPr id="1" name="Picture 1" descr="btlogo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ogosm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2760" cy="511810"/>
                  </a:xfrm>
                  <a:prstGeom prst="rect">
                    <a:avLst/>
                  </a:prstGeom>
                  <a:noFill/>
                  <a:ln>
                    <a:noFill/>
                  </a:ln>
                </pic:spPr>
              </pic:pic>
            </a:graphicData>
          </a:graphic>
        </wp:inline>
      </w:drawing>
    </w:r>
    <w:r>
      <w:tab/>
    </w:r>
  </w:p>
  <w:p w:rsidR="00B31C3F" w:rsidRDefault="00B31C3F" w:rsidP="00B31C3F">
    <w:pPr>
      <w:pStyle w:val="Header"/>
    </w:pPr>
  </w:p>
  <w:p w:rsidR="00B31C3F" w:rsidRDefault="00B31C3F" w:rsidP="00B31C3F">
    <w:pPr>
      <w:pBdr>
        <w:top w:val="double" w:sz="6"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E65AA"/>
    <w:multiLevelType w:val="hybridMultilevel"/>
    <w:tmpl w:val="D7F0D0B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14886AE1"/>
    <w:multiLevelType w:val="hybridMultilevel"/>
    <w:tmpl w:val="FAD68B0E"/>
    <w:lvl w:ilvl="0" w:tplc="B25A9C14">
      <w:start w:val="1"/>
      <w:numFmt w:val="bullet"/>
      <w:lvlText w:val="-"/>
      <w:lvlJc w:val="left"/>
      <w:pPr>
        <w:ind w:left="1287" w:hanging="360"/>
      </w:pPr>
      <w:rPr>
        <w:rFonts w:ascii="Courier New" w:hAnsi="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 w15:restartNumberingAfterBreak="0">
    <w:nsid w:val="345B562C"/>
    <w:multiLevelType w:val="hybridMultilevel"/>
    <w:tmpl w:val="4202A4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5B867040"/>
    <w:multiLevelType w:val="hybridMultilevel"/>
    <w:tmpl w:val="B5E81694"/>
    <w:lvl w:ilvl="0" w:tplc="0C09000F">
      <w:start w:val="1"/>
      <w:numFmt w:val="decimal"/>
      <w:lvlText w:val="%1."/>
      <w:lvlJc w:val="left"/>
      <w:pPr>
        <w:ind w:left="720" w:hanging="360"/>
      </w:pPr>
    </w:lvl>
    <w:lvl w:ilvl="1" w:tplc="836E878A">
      <w:start w:val="1"/>
      <w:numFmt w:val="decimal"/>
      <w:lvlText w:val="%2."/>
      <w:lvlJc w:val="left"/>
      <w:pPr>
        <w:ind w:left="1440" w:hanging="360"/>
      </w:pPr>
      <w:rPr>
        <w:rFonts w:hint="default"/>
        <w:b/>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displayVerticalDrawingGridEvery w:val="2"/>
  <w:characterSpacingControl w:val="doNotCompress"/>
  <w:hdrShapeDefaults>
    <o:shapedefaults v:ext="edit" spidmax="3277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4BC"/>
    <w:rsid w:val="00010F0B"/>
    <w:rsid w:val="00031C65"/>
    <w:rsid w:val="00065598"/>
    <w:rsid w:val="000A6480"/>
    <w:rsid w:val="00102EF0"/>
    <w:rsid w:val="00172459"/>
    <w:rsid w:val="00192F62"/>
    <w:rsid w:val="001E370A"/>
    <w:rsid w:val="00307A1D"/>
    <w:rsid w:val="00313C5D"/>
    <w:rsid w:val="003366E9"/>
    <w:rsid w:val="0036759B"/>
    <w:rsid w:val="0036786C"/>
    <w:rsid w:val="00375DB2"/>
    <w:rsid w:val="003E5B18"/>
    <w:rsid w:val="00484CAC"/>
    <w:rsid w:val="004C6C23"/>
    <w:rsid w:val="00512A69"/>
    <w:rsid w:val="00532475"/>
    <w:rsid w:val="00535BFD"/>
    <w:rsid w:val="005520A1"/>
    <w:rsid w:val="00561001"/>
    <w:rsid w:val="005F620C"/>
    <w:rsid w:val="006045CA"/>
    <w:rsid w:val="00614B1A"/>
    <w:rsid w:val="006420F2"/>
    <w:rsid w:val="0066742C"/>
    <w:rsid w:val="006861AB"/>
    <w:rsid w:val="00740EEC"/>
    <w:rsid w:val="00785B8B"/>
    <w:rsid w:val="007C304A"/>
    <w:rsid w:val="007C4E5A"/>
    <w:rsid w:val="007E5236"/>
    <w:rsid w:val="008557F3"/>
    <w:rsid w:val="008A6B3A"/>
    <w:rsid w:val="009974BB"/>
    <w:rsid w:val="009D7B2E"/>
    <w:rsid w:val="00A37054"/>
    <w:rsid w:val="00A433CE"/>
    <w:rsid w:val="00A60B2E"/>
    <w:rsid w:val="00A6109D"/>
    <w:rsid w:val="00AD6560"/>
    <w:rsid w:val="00AF7134"/>
    <w:rsid w:val="00B31C3F"/>
    <w:rsid w:val="00B5250F"/>
    <w:rsid w:val="00B834B9"/>
    <w:rsid w:val="00C410B5"/>
    <w:rsid w:val="00C50698"/>
    <w:rsid w:val="00C61D72"/>
    <w:rsid w:val="00D014BC"/>
    <w:rsid w:val="00D178E7"/>
    <w:rsid w:val="00D80B7B"/>
    <w:rsid w:val="00D95C83"/>
    <w:rsid w:val="00DE1FEA"/>
    <w:rsid w:val="00DF3F67"/>
    <w:rsid w:val="00EB32EC"/>
    <w:rsid w:val="00EB7AF5"/>
    <w:rsid w:val="00EE42A8"/>
    <w:rsid w:val="00F13697"/>
    <w:rsid w:val="00F42DCB"/>
    <w:rsid w:val="00FB0D1C"/>
    <w:rsid w:val="00FB191F"/>
    <w:rsid w:val="00FB19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15:docId w15:val="{8CF77D90-E2C0-41BB-BC92-6AD41647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0EEC"/>
    <w:rPr>
      <w:color w:val="0000FF" w:themeColor="hyperlink"/>
      <w:u w:val="single"/>
    </w:rPr>
  </w:style>
  <w:style w:type="paragraph" w:styleId="ListParagraph">
    <w:name w:val="List Paragraph"/>
    <w:basedOn w:val="Normal"/>
    <w:uiPriority w:val="34"/>
    <w:qFormat/>
    <w:rsid w:val="00785B8B"/>
    <w:pPr>
      <w:ind w:left="720"/>
      <w:contextualSpacing/>
    </w:pPr>
  </w:style>
  <w:style w:type="paragraph" w:styleId="Header">
    <w:name w:val="header"/>
    <w:basedOn w:val="Normal"/>
    <w:link w:val="HeaderChar"/>
    <w:unhideWhenUsed/>
    <w:rsid w:val="00FB0D1C"/>
    <w:pPr>
      <w:tabs>
        <w:tab w:val="center" w:pos="4513"/>
        <w:tab w:val="right" w:pos="9026"/>
      </w:tabs>
    </w:pPr>
  </w:style>
  <w:style w:type="character" w:customStyle="1" w:styleId="HeaderChar">
    <w:name w:val="Header Char"/>
    <w:basedOn w:val="DefaultParagraphFont"/>
    <w:link w:val="Header"/>
    <w:rsid w:val="00FB0D1C"/>
  </w:style>
  <w:style w:type="paragraph" w:styleId="Footer">
    <w:name w:val="footer"/>
    <w:basedOn w:val="Normal"/>
    <w:link w:val="FooterChar"/>
    <w:unhideWhenUsed/>
    <w:rsid w:val="00FB0D1C"/>
    <w:pPr>
      <w:tabs>
        <w:tab w:val="center" w:pos="4513"/>
        <w:tab w:val="right" w:pos="9026"/>
      </w:tabs>
    </w:pPr>
  </w:style>
  <w:style w:type="character" w:customStyle="1" w:styleId="FooterChar">
    <w:name w:val="Footer Char"/>
    <w:basedOn w:val="DefaultParagraphFont"/>
    <w:link w:val="Footer"/>
    <w:uiPriority w:val="99"/>
    <w:rsid w:val="00FB0D1C"/>
  </w:style>
  <w:style w:type="paragraph" w:styleId="BalloonText">
    <w:name w:val="Balloon Text"/>
    <w:basedOn w:val="Normal"/>
    <w:link w:val="BalloonTextChar"/>
    <w:uiPriority w:val="99"/>
    <w:semiHidden/>
    <w:unhideWhenUsed/>
    <w:rsid w:val="00FB0D1C"/>
    <w:rPr>
      <w:rFonts w:ascii="Tahoma" w:hAnsi="Tahoma" w:cs="Tahoma"/>
      <w:sz w:val="16"/>
      <w:szCs w:val="16"/>
    </w:rPr>
  </w:style>
  <w:style w:type="character" w:customStyle="1" w:styleId="BalloonTextChar">
    <w:name w:val="Balloon Text Char"/>
    <w:basedOn w:val="DefaultParagraphFont"/>
    <w:link w:val="BalloonText"/>
    <w:uiPriority w:val="99"/>
    <w:semiHidden/>
    <w:rsid w:val="00FB0D1C"/>
    <w:rPr>
      <w:rFonts w:ascii="Tahoma" w:hAnsi="Tahoma" w:cs="Tahoma"/>
      <w:sz w:val="16"/>
      <w:szCs w:val="16"/>
    </w:rPr>
  </w:style>
  <w:style w:type="character" w:styleId="PageNumber">
    <w:name w:val="page number"/>
    <w:basedOn w:val="DefaultParagraphFont"/>
    <w:semiHidden/>
    <w:rsid w:val="00FB0D1C"/>
  </w:style>
  <w:style w:type="character" w:styleId="FollowedHyperlink">
    <w:name w:val="FollowedHyperlink"/>
    <w:basedOn w:val="DefaultParagraphFont"/>
    <w:uiPriority w:val="99"/>
    <w:semiHidden/>
    <w:unhideWhenUsed/>
    <w:rsid w:val="00031C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sbiztools.com.au/index.php?option=com_docman&amp;view=list&amp;slug=bas5025-csf-intermediary&amp;Itemid=324&amp;layout=table" TargetMode="External"/><Relationship Id="rId3" Type="http://schemas.openxmlformats.org/officeDocument/2006/relationships/settings" Target="settings.xml"/><Relationship Id="rId7" Type="http://schemas.openxmlformats.org/officeDocument/2006/relationships/hyperlink" Target="http://www.essbiztools.com.au/index.php?option=com_docman&amp;view=list&amp;slug=bas5025-csf-intermediary&amp;Itemid=324&amp;layout=tabl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peter@essbiztools.com.au" TargetMode="External"/><Relationship Id="rId2" Type="http://schemas.openxmlformats.org/officeDocument/2006/relationships/hyperlink" Target="http://www.essbiztools.com.au" TargetMode="External"/><Relationship Id="rId1" Type="http://schemas.openxmlformats.org/officeDocument/2006/relationships/hyperlink" Target="mailto:peter@essbiztools.com.au" TargetMode="External"/><Relationship Id="rId5" Type="http://schemas.openxmlformats.org/officeDocument/2006/relationships/image" Target="media/image1.png"/><Relationship Id="rId4" Type="http://schemas.openxmlformats.org/officeDocument/2006/relationships/hyperlink" Target="http://www.essbiztoo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ESS BIZTOOLS</cp:lastModifiedBy>
  <cp:revision>14</cp:revision>
  <cp:lastPrinted>2017-05-02T03:54:00Z</cp:lastPrinted>
  <dcterms:created xsi:type="dcterms:W3CDTF">2017-04-19T22:14:00Z</dcterms:created>
  <dcterms:modified xsi:type="dcterms:W3CDTF">2017-09-07T01:13:00Z</dcterms:modified>
</cp:coreProperties>
</file>